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E49" w:rsidRDefault="00FE2E49" w:rsidP="004E11DF">
      <w:pPr>
        <w:pStyle w:val="AralkYok"/>
        <w:jc w:val="center"/>
      </w:pPr>
    </w:p>
    <w:p w:rsidR="00FE2E49" w:rsidRDefault="00FE2E49" w:rsidP="004E11DF">
      <w:pPr>
        <w:pStyle w:val="AralkYok"/>
        <w:jc w:val="center"/>
      </w:pPr>
    </w:p>
    <w:p w:rsidR="00FE2E49" w:rsidRPr="00AA576B" w:rsidRDefault="003A6431" w:rsidP="00FE2E49">
      <w:pPr>
        <w:pStyle w:val="AralkYok"/>
        <w:jc w:val="center"/>
        <w:rPr>
          <w:b/>
        </w:rPr>
      </w:pPr>
      <w:r>
        <w:rPr>
          <w:b/>
        </w:rPr>
        <w:t>2</w:t>
      </w:r>
      <w:bookmarkStart w:id="0" w:name="_GoBack"/>
      <w:bookmarkEnd w:id="0"/>
      <w:r w:rsidR="00E21F8B">
        <w:rPr>
          <w:b/>
        </w:rPr>
        <w:t xml:space="preserve">.SINIF </w:t>
      </w:r>
      <w:r w:rsidR="00E21F8B" w:rsidRPr="00AA576B">
        <w:rPr>
          <w:b/>
        </w:rPr>
        <w:t>HAYAT BİLGİSİ DERSİ DERS PLANI</w:t>
      </w:r>
    </w:p>
    <w:p w:rsidR="00FE2E49" w:rsidRPr="00FF1DD2" w:rsidRDefault="00E21F8B" w:rsidP="00FE2E49">
      <w:pPr>
        <w:pStyle w:val="AralkYok"/>
        <w:jc w:val="center"/>
        <w:rPr>
          <w:b/>
          <w:color w:val="FF0000"/>
        </w:rPr>
      </w:pPr>
      <w:r>
        <w:rPr>
          <w:b/>
          <w:color w:val="FF0000"/>
        </w:rPr>
        <w:t>29</w:t>
      </w:r>
      <w:r w:rsidRPr="00FF1DD2">
        <w:rPr>
          <w:b/>
          <w:color w:val="FF0000"/>
        </w:rPr>
        <w:t xml:space="preserve">.Hafta </w:t>
      </w:r>
    </w:p>
    <w:p w:rsidR="00FE2E49" w:rsidRPr="00AA576B" w:rsidRDefault="00E21F8B" w:rsidP="00FE2E49">
      <w:pPr>
        <w:pStyle w:val="AralkYok"/>
        <w:jc w:val="center"/>
        <w:rPr>
          <w:b/>
        </w:rPr>
      </w:pPr>
      <w:r>
        <w:rPr>
          <w:b/>
        </w:rPr>
        <w:t xml:space="preserve">(20-24 </w:t>
      </w:r>
      <w:r w:rsidR="00D44CDE">
        <w:rPr>
          <w:b/>
        </w:rPr>
        <w:t xml:space="preserve">NİSAN </w:t>
      </w:r>
      <w:r>
        <w:rPr>
          <w:b/>
        </w:rPr>
        <w:t>2026)</w:t>
      </w:r>
    </w:p>
    <w:p w:rsidR="00FE2E49" w:rsidRDefault="00FE2E49" w:rsidP="00FE2E49">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9"/>
        <w:gridCol w:w="7381"/>
      </w:tblGrid>
      <w:tr w:rsidR="00122BB8" w:rsidTr="00D53A11">
        <w:trPr>
          <w:trHeight w:val="284"/>
        </w:trPr>
        <w:tc>
          <w:tcPr>
            <w:tcW w:w="2981" w:type="dxa"/>
            <w:gridSpan w:val="2"/>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FE2E49" w:rsidRPr="00A62DD1" w:rsidRDefault="00E21F8B" w:rsidP="00D53A11">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122BB8" w:rsidTr="00D53A11">
        <w:trPr>
          <w:trHeight w:val="284"/>
        </w:trPr>
        <w:tc>
          <w:tcPr>
            <w:tcW w:w="2981" w:type="dxa"/>
            <w:gridSpan w:val="2"/>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FE2E49" w:rsidRPr="00A62DD1" w:rsidRDefault="00E21F8B" w:rsidP="00D53A11">
            <w:pPr>
              <w:pStyle w:val="AralkYok"/>
              <w:rPr>
                <w:rFonts w:ascii="Tahoma" w:hAnsi="Tahoma" w:cs="Tahoma"/>
                <w:sz w:val="19"/>
                <w:szCs w:val="19"/>
              </w:rPr>
            </w:pPr>
            <w:r>
              <w:rPr>
                <w:rFonts w:ascii="Tahoma" w:hAnsi="Tahoma" w:cs="Tahoma"/>
                <w:b/>
                <w:sz w:val="19"/>
                <w:szCs w:val="19"/>
                <w14:ligatures w14:val="standardContextual"/>
              </w:rPr>
              <w:t>DOĞA VE ÇEVRE</w:t>
            </w:r>
            <w:r w:rsidRPr="00A62DD1">
              <w:rPr>
                <w:rFonts w:ascii="Tahoma" w:hAnsi="Tahoma" w:cs="Tahoma"/>
                <w:b/>
                <w:sz w:val="19"/>
                <w:szCs w:val="19"/>
                <w14:ligatures w14:val="standardContextual"/>
              </w:rPr>
              <w:t xml:space="preserve">  </w:t>
            </w:r>
          </w:p>
        </w:tc>
      </w:tr>
      <w:tr w:rsidR="00122BB8" w:rsidTr="00D53A11">
        <w:trPr>
          <w:trHeight w:val="284"/>
        </w:trPr>
        <w:tc>
          <w:tcPr>
            <w:tcW w:w="2981" w:type="dxa"/>
            <w:gridSpan w:val="2"/>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FE2E49" w:rsidRPr="00A62DD1" w:rsidRDefault="00E21F8B" w:rsidP="00D53A11">
            <w:pPr>
              <w:pStyle w:val="AralkYok"/>
              <w:rPr>
                <w:rFonts w:ascii="Tahoma" w:hAnsi="Tahoma" w:cs="Tahoma"/>
                <w:b/>
                <w:sz w:val="19"/>
                <w:szCs w:val="19"/>
                <w14:ligatures w14:val="standardContextual"/>
              </w:rPr>
            </w:pPr>
            <w:r w:rsidRPr="003D5AED">
              <w:rPr>
                <w:rFonts w:ascii="Tahoma" w:hAnsi="Tahoma" w:cs="Tahoma"/>
                <w:b/>
                <w:sz w:val="19"/>
                <w:szCs w:val="19"/>
                <w14:ligatures w14:val="standardContextual"/>
              </w:rPr>
              <w:t>Afetlere Karşı Alınacak Önlemler</w:t>
            </w:r>
            <w:r>
              <w:rPr>
                <w:rFonts w:ascii="Tahoma" w:hAnsi="Tahoma" w:cs="Tahoma"/>
                <w:b/>
                <w:sz w:val="19"/>
                <w:szCs w:val="19"/>
                <w14:ligatures w14:val="standardContextual"/>
              </w:rPr>
              <w:t xml:space="preserve"> </w:t>
            </w:r>
            <w:r w:rsidRPr="00A62DD1">
              <w:rPr>
                <w:rFonts w:ascii="Tahoma" w:hAnsi="Tahoma" w:cs="Tahoma"/>
                <w:b/>
                <w:sz w:val="19"/>
                <w:szCs w:val="19"/>
                <w14:ligatures w14:val="standardContextual"/>
              </w:rPr>
              <w:t>(4 saat)</w:t>
            </w:r>
          </w:p>
        </w:tc>
      </w:tr>
      <w:tr w:rsidR="00122BB8" w:rsidTr="00D53A11">
        <w:trPr>
          <w:trHeight w:val="284"/>
        </w:trPr>
        <w:tc>
          <w:tcPr>
            <w:tcW w:w="2981" w:type="dxa"/>
            <w:gridSpan w:val="2"/>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FE2E49" w:rsidRPr="003D5AED" w:rsidRDefault="00E21F8B" w:rsidP="00D53A11">
            <w:pPr>
              <w:autoSpaceDE w:val="0"/>
              <w:autoSpaceDN w:val="0"/>
              <w:adjustRightInd w:val="0"/>
              <w:rPr>
                <w:rFonts w:ascii="Tahoma" w:hAnsi="Tahoma" w:cs="Tahoma"/>
                <w:b/>
                <w:sz w:val="19"/>
                <w:szCs w:val="19"/>
                <w14:ligatures w14:val="standardContextual"/>
              </w:rPr>
            </w:pPr>
            <w:r w:rsidRPr="003D5AED">
              <w:rPr>
                <w:rFonts w:ascii="Tahoma" w:hAnsi="Tahoma" w:cs="Tahoma"/>
                <w:b/>
                <w:sz w:val="19"/>
                <w:szCs w:val="19"/>
                <w14:ligatures w14:val="standardContextual"/>
              </w:rPr>
              <w:t>HB.2.5.3. Afetlere karşı alınması gereken önlemlere ilişkin bilgi toplayabilme</w:t>
            </w:r>
          </w:p>
          <w:p w:rsidR="00FE2E49" w:rsidRPr="003D5AED" w:rsidRDefault="00E21F8B" w:rsidP="00D53A11">
            <w:pPr>
              <w:autoSpaceDE w:val="0"/>
              <w:autoSpaceDN w:val="0"/>
              <w:adjustRightInd w:val="0"/>
              <w:rPr>
                <w:rFonts w:ascii="Tahoma" w:hAnsi="Tahoma" w:cs="Tahoma"/>
                <w:b/>
                <w:sz w:val="19"/>
                <w:szCs w:val="19"/>
                <w14:ligatures w14:val="standardContextual"/>
              </w:rPr>
            </w:pPr>
            <w:r w:rsidRPr="003D5AED">
              <w:rPr>
                <w:rFonts w:ascii="Tahoma" w:hAnsi="Tahoma" w:cs="Tahoma"/>
                <w:b/>
                <w:sz w:val="19"/>
                <w:szCs w:val="19"/>
                <w14:ligatures w14:val="standardContextual"/>
              </w:rPr>
              <w:t>a) Afetlere karşı alınması gereken önlemlere ilişkin bilgileri bulur.</w:t>
            </w:r>
          </w:p>
          <w:p w:rsidR="00FE2E49" w:rsidRPr="00A62DD1" w:rsidRDefault="00E21F8B" w:rsidP="00D53A11">
            <w:pPr>
              <w:autoSpaceDE w:val="0"/>
              <w:autoSpaceDN w:val="0"/>
              <w:adjustRightInd w:val="0"/>
              <w:rPr>
                <w:rFonts w:ascii="Tahoma" w:hAnsi="Tahoma" w:cs="Tahoma"/>
                <w:b/>
                <w:sz w:val="19"/>
                <w:szCs w:val="19"/>
                <w14:ligatures w14:val="standardContextual"/>
              </w:rPr>
            </w:pPr>
            <w:r w:rsidRPr="003D5AED">
              <w:rPr>
                <w:rFonts w:ascii="Tahoma" w:hAnsi="Tahoma" w:cs="Tahoma"/>
                <w:b/>
                <w:sz w:val="19"/>
                <w:szCs w:val="19"/>
                <w14:ligatures w14:val="standardContextual"/>
              </w:rPr>
              <w:t>b) Afetlere karşı alınması gereken önlemlere ilişkin bilgileri kaydeder.</w:t>
            </w:r>
          </w:p>
        </w:tc>
      </w:tr>
      <w:tr w:rsidR="00122BB8" w:rsidTr="00D53A11">
        <w:trPr>
          <w:trHeight w:val="284"/>
        </w:trPr>
        <w:tc>
          <w:tcPr>
            <w:tcW w:w="2981" w:type="dxa"/>
            <w:gridSpan w:val="2"/>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FE2E49" w:rsidRPr="00A62DD1" w:rsidRDefault="00E21F8B" w:rsidP="00D53A11">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FE2E49" w:rsidRPr="00A62DD1" w:rsidRDefault="00E21F8B" w:rsidP="00D53A11">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FE2E49" w:rsidRPr="00A62DD1" w:rsidRDefault="00E21F8B" w:rsidP="00D53A11">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122BB8" w:rsidTr="00D53A11">
        <w:trPr>
          <w:trHeight w:val="284"/>
        </w:trPr>
        <w:tc>
          <w:tcPr>
            <w:tcW w:w="2981" w:type="dxa"/>
            <w:gridSpan w:val="2"/>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FE2E49" w:rsidRPr="00A62DD1" w:rsidRDefault="00E21F8B" w:rsidP="00D53A11">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122BB8" w:rsidTr="00D53A11">
        <w:trPr>
          <w:trHeight w:val="357"/>
        </w:trPr>
        <w:tc>
          <w:tcPr>
            <w:tcW w:w="2981" w:type="dxa"/>
            <w:gridSpan w:val="2"/>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FE2E49" w:rsidRPr="00A62DD1" w:rsidRDefault="00E21F8B" w:rsidP="00D53A11">
            <w:pPr>
              <w:pStyle w:val="AralkYok"/>
              <w:rPr>
                <w:rFonts w:ascii="Tahoma" w:hAnsi="Tahoma" w:cs="Tahoma"/>
                <w:sz w:val="19"/>
                <w:szCs w:val="19"/>
              </w:rPr>
            </w:pPr>
            <w:r w:rsidRPr="001D3B8B">
              <w:rPr>
                <w:rFonts w:ascii="Tahoma" w:hAnsi="Tahoma" w:cs="Tahoma"/>
                <w:sz w:val="19"/>
                <w:szCs w:val="19"/>
                <w14:ligatures w14:val="standardContextual"/>
              </w:rPr>
              <w:t>hava olayları, mevsimler, ana yönler, doğada yön bulma, afet, kaynak, tasarruf</w:t>
            </w:r>
          </w:p>
        </w:tc>
      </w:tr>
      <w:tr w:rsidR="00122BB8" w:rsidTr="00D53A11">
        <w:trPr>
          <w:trHeight w:val="504"/>
        </w:trPr>
        <w:tc>
          <w:tcPr>
            <w:tcW w:w="2981" w:type="dxa"/>
            <w:gridSpan w:val="2"/>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FE2E49" w:rsidRPr="001D3B8B" w:rsidRDefault="00E21F8B"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Öğrenme çıktıları; gözlem formu, tablo, resimli grafik, çalışma yaprağı, kontrol listesi,</w:t>
            </w:r>
          </w:p>
          <w:p w:rsidR="00FE2E49" w:rsidRPr="001D3B8B" w:rsidRDefault="00E21F8B"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drama, canlandırma, yapılandırılmış röportaj, öz değerlendirme formu araçları kullanılarak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değerlendirilebilir. Öğrencilerin hazırlayacakları mevsim şeridi ise dereceli puanlama</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anahtarı ile değerlendirilebilir. Bütüncül değerlendirme için tüm öğrenme çıktılarından</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oluşan bir izleme testi uygulanabilir.Sınıf içi proje görevi olarak öğrencilerden afetler hakkında edinilen bilgilerin yer aldığı</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afiş, poster gibi ürünler hazırlamaları istenebilir. Konu ile ilgili araştırma yapmaları, ihtiyaç</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duyacağı materyalleri belirlemeleri ve bir planlama yaparak ürünlerini oluşturmaları istenebilir.</w:t>
            </w:r>
          </w:p>
          <w:p w:rsidR="00FE2E49" w:rsidRPr="001D3B8B" w:rsidRDefault="00E21F8B"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Oluşturdukları ürünleri sınıfta sergilemeleri veya sunmaları beklenebilir. Ürünler</w:t>
            </w:r>
          </w:p>
          <w:p w:rsidR="00FE2E49" w:rsidRPr="00A62DD1" w:rsidRDefault="00E21F8B" w:rsidP="00D53A11">
            <w:pPr>
              <w:pStyle w:val="AralkYok"/>
              <w:rPr>
                <w:rFonts w:ascii="Tahoma" w:hAnsi="Tahoma" w:cs="Tahoma"/>
                <w:sz w:val="19"/>
                <w:szCs w:val="19"/>
              </w:rPr>
            </w:pPr>
            <w:r w:rsidRPr="001D3B8B">
              <w:rPr>
                <w:rFonts w:ascii="Tahoma" w:hAnsi="Tahoma" w:cs="Tahoma"/>
                <w:sz w:val="19"/>
                <w:szCs w:val="19"/>
                <w14:ligatures w14:val="standardContextual"/>
              </w:rPr>
              <w:t>bütüncül dereceli puanlama anahtarı ile değerlendirilebilir.</w:t>
            </w:r>
          </w:p>
        </w:tc>
      </w:tr>
      <w:tr w:rsidR="00122BB8" w:rsidTr="00D53A11">
        <w:trPr>
          <w:trHeight w:val="447"/>
        </w:trPr>
        <w:tc>
          <w:tcPr>
            <w:tcW w:w="1459" w:type="dxa"/>
            <w:vMerge w:val="restart"/>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FE2E49" w:rsidRPr="00A62DD1" w:rsidRDefault="00E21F8B"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Deprem, sel, yangın, heyelan, çığ gibi afetlerle ilgili ön bilgi</w:t>
            </w:r>
            <w:r>
              <w:rPr>
                <w:rFonts w:ascii="Tahoma" w:hAnsi="Tahoma" w:cs="Tahoma"/>
                <w:sz w:val="19"/>
                <w:szCs w:val="19"/>
                <w14:ligatures w14:val="standardContextual"/>
              </w:rPr>
              <w:t>leri olduğu kabul edilmektedir.</w:t>
            </w:r>
          </w:p>
        </w:tc>
      </w:tr>
      <w:tr w:rsidR="00122BB8" w:rsidTr="00D53A11">
        <w:trPr>
          <w:trHeight w:val="190"/>
        </w:trPr>
        <w:tc>
          <w:tcPr>
            <w:tcW w:w="1459" w:type="dxa"/>
            <w:vMerge/>
            <w:vAlign w:val="center"/>
          </w:tcPr>
          <w:p w:rsidR="00FE2E49" w:rsidRPr="00A62DD1" w:rsidRDefault="00FE2E49" w:rsidP="00D53A11">
            <w:pPr>
              <w:pStyle w:val="AralkYok"/>
              <w:rPr>
                <w:rFonts w:ascii="Tahoma" w:hAnsi="Tahoma" w:cs="Tahoma"/>
                <w:b/>
                <w:sz w:val="19"/>
                <w:szCs w:val="19"/>
                <w14:ligatures w14:val="standardContextual"/>
              </w:rPr>
            </w:pPr>
          </w:p>
        </w:tc>
        <w:tc>
          <w:tcPr>
            <w:tcW w:w="1522" w:type="dxa"/>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FE2E49" w:rsidRPr="001D3B8B" w:rsidRDefault="00E21F8B"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Doğayı ve yaşadıkları çevreyi daha yakından tanımaya, afetlere karşı farkındalık oluşturmaya,</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yönelik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öğrencilere aşağıdakil</w:t>
            </w:r>
            <w:r>
              <w:rPr>
                <w:rFonts w:ascii="Tahoma" w:hAnsi="Tahoma" w:cs="Tahoma"/>
                <w:sz w:val="19"/>
                <w:szCs w:val="19"/>
                <w14:ligatures w14:val="standardContextual"/>
              </w:rPr>
              <w:t>ere benzer sorular sorulabilir:</w:t>
            </w:r>
          </w:p>
          <w:p w:rsidR="00FE2E49" w:rsidRPr="00A62DD1" w:rsidRDefault="00E21F8B"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 “Önlem almak hayat kurtar</w:t>
            </w:r>
            <w:r>
              <w:rPr>
                <w:rFonts w:ascii="Tahoma" w:hAnsi="Tahoma" w:cs="Tahoma"/>
                <w:sz w:val="19"/>
                <w:szCs w:val="19"/>
                <w14:ligatures w14:val="standardContextual"/>
              </w:rPr>
              <w:t>ır.” sözü size ne ifade ediyor?</w:t>
            </w:r>
          </w:p>
        </w:tc>
      </w:tr>
      <w:tr w:rsidR="00122BB8" w:rsidTr="00D53A11">
        <w:trPr>
          <w:trHeight w:val="190"/>
        </w:trPr>
        <w:tc>
          <w:tcPr>
            <w:tcW w:w="1459" w:type="dxa"/>
            <w:vMerge/>
            <w:vAlign w:val="center"/>
          </w:tcPr>
          <w:p w:rsidR="00FE2E49" w:rsidRPr="00A62DD1" w:rsidRDefault="00FE2E49" w:rsidP="00D53A11">
            <w:pPr>
              <w:pStyle w:val="AralkYok"/>
              <w:rPr>
                <w:rFonts w:ascii="Tahoma" w:hAnsi="Tahoma" w:cs="Tahoma"/>
                <w:b/>
                <w:sz w:val="19"/>
                <w:szCs w:val="19"/>
                <w14:ligatures w14:val="standardContextual"/>
              </w:rPr>
            </w:pPr>
          </w:p>
        </w:tc>
        <w:tc>
          <w:tcPr>
            <w:tcW w:w="1522" w:type="dxa"/>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FE2E49" w:rsidRPr="001D3B8B" w:rsidRDefault="00E21F8B"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Öğrencilere afetlerle ilgili ön bilgileri hatırlatılarak afet tatbikatlarında nasıl davrandıkları</w:t>
            </w:r>
          </w:p>
          <w:p w:rsidR="00FE2E49" w:rsidRPr="00FE2E49" w:rsidRDefault="00E21F8B"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ve neler hissettikl</w:t>
            </w:r>
            <w:r>
              <w:rPr>
                <w:rFonts w:ascii="Tahoma" w:hAnsi="Tahoma" w:cs="Tahoma"/>
                <w:sz w:val="19"/>
                <w:szCs w:val="19"/>
                <w14:ligatures w14:val="standardContextual"/>
              </w:rPr>
              <w:t>eri hakkında fikirleri sorulur.</w:t>
            </w:r>
          </w:p>
        </w:tc>
      </w:tr>
      <w:tr w:rsidR="00122BB8" w:rsidTr="00D53A11">
        <w:trPr>
          <w:trHeight w:val="190"/>
        </w:trPr>
        <w:tc>
          <w:tcPr>
            <w:tcW w:w="1459" w:type="dxa"/>
            <w:vMerge/>
            <w:vAlign w:val="center"/>
          </w:tcPr>
          <w:p w:rsidR="00FE2E49" w:rsidRPr="00A62DD1" w:rsidRDefault="00FE2E49" w:rsidP="00D53A11">
            <w:pPr>
              <w:pStyle w:val="AralkYok"/>
              <w:rPr>
                <w:rFonts w:ascii="Tahoma" w:hAnsi="Tahoma" w:cs="Tahoma"/>
                <w:b/>
                <w:sz w:val="19"/>
                <w:szCs w:val="19"/>
                <w14:ligatures w14:val="standardContextual"/>
              </w:rPr>
            </w:pPr>
          </w:p>
        </w:tc>
        <w:tc>
          <w:tcPr>
            <w:tcW w:w="1522" w:type="dxa"/>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FE2E49" w:rsidRDefault="00E21F8B" w:rsidP="00D53A11">
            <w:pPr>
              <w:autoSpaceDE w:val="0"/>
              <w:autoSpaceDN w:val="0"/>
              <w:adjustRightInd w:val="0"/>
              <w:rPr>
                <w:rFonts w:ascii="Tahoma" w:hAnsi="Tahoma" w:cs="Tahoma"/>
                <w:b/>
                <w:color w:val="000000" w:themeColor="text1"/>
                <w:sz w:val="19"/>
                <w:szCs w:val="19"/>
                <w14:ligatures w14:val="standardContextual"/>
              </w:rPr>
            </w:pPr>
            <w:r w:rsidRPr="00FE2E49">
              <w:rPr>
                <w:rFonts w:ascii="Tahoma" w:hAnsi="Tahoma" w:cs="Tahoma"/>
                <w:b/>
                <w:color w:val="000000" w:themeColor="text1"/>
                <w:sz w:val="19"/>
                <w:szCs w:val="19"/>
                <w14:ligatures w14:val="standardContextual"/>
              </w:rPr>
              <w:t>HB.2.5.3. Afetlere karşı alınması gereken önlemlere ilişkin bilgi toplayabilme</w:t>
            </w:r>
            <w:r>
              <w:rPr>
                <w:rFonts w:ascii="Tahoma" w:hAnsi="Tahoma" w:cs="Tahoma"/>
                <w:b/>
                <w:color w:val="000000" w:themeColor="text1"/>
                <w:sz w:val="19"/>
                <w:szCs w:val="19"/>
                <w14:ligatures w14:val="standardContextual"/>
              </w:rPr>
              <w:t xml:space="preserve"> </w:t>
            </w:r>
          </w:p>
          <w:p w:rsidR="00FE2E49" w:rsidRDefault="00E21F8B" w:rsidP="00D53A11">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FE2E49">
              <w:rPr>
                <w:rFonts w:ascii="Tahoma" w:hAnsi="Tahoma" w:cs="Tahoma"/>
                <w:color w:val="000000" w:themeColor="text1"/>
                <w:sz w:val="19"/>
                <w:szCs w:val="19"/>
                <w14:ligatures w14:val="standardContextual"/>
              </w:rPr>
              <w:t>Öğrencilerden deprem, sel, yangın, heyelan, çığ gibi afetlere karşı alınması gereken önlemlere</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ilişkin bilgi toplayabilmeleri (KB2.6) beklenir. Öğrencilerin afetlere karşı alınması</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gereken önlemlere ilişkin bilgileri bulmaları (a) istenir. Bunun için öğrencilere film, video,</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animasyon, infografik gibi eğitici içerikler sunulur. Tehlike avı, imdat yarışı gibi etkinlikler</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yaptırılır. Bu süreçte öğrencilerin afetlere karşı alınması gereken önlemlere ilişkin soru</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 xml:space="preserve">sormaları (E3.8) sağlanır. </w:t>
            </w:r>
          </w:p>
          <w:p w:rsidR="00FE2E49" w:rsidRPr="00FE2E49" w:rsidRDefault="00E21F8B" w:rsidP="00D53A11">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FE2E49">
              <w:rPr>
                <w:rFonts w:ascii="Tahoma" w:hAnsi="Tahoma" w:cs="Tahoma"/>
                <w:color w:val="000000" w:themeColor="text1"/>
                <w:sz w:val="19"/>
                <w:szCs w:val="19"/>
                <w14:ligatures w14:val="standardContextual"/>
              </w:rPr>
              <w:t>Öğrencilerden afet ve acil durum çantası, acil durum bilgi kartı</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hazırlamaları istenir (D5.3). Öğrencilerin afetlere karşı alınması gereken önlemlere ilişkin</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bilgileri</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kaydetmeleri (b) beklenir. Bu aşamada öğrencilerden konuya ilişkin edinilen bilgilerin</w:t>
            </w:r>
          </w:p>
          <w:p w:rsidR="00FE2E49" w:rsidRDefault="00E21F8B" w:rsidP="00D53A11">
            <w:pPr>
              <w:autoSpaceDE w:val="0"/>
              <w:autoSpaceDN w:val="0"/>
              <w:adjustRightInd w:val="0"/>
              <w:rPr>
                <w:rFonts w:ascii="Tahoma" w:hAnsi="Tahoma" w:cs="Tahoma"/>
                <w:color w:val="000000" w:themeColor="text1"/>
                <w:sz w:val="19"/>
                <w:szCs w:val="19"/>
                <w14:ligatures w14:val="standardContextual"/>
              </w:rPr>
            </w:pPr>
            <w:r w:rsidRPr="00FE2E49">
              <w:rPr>
                <w:rFonts w:ascii="Tahoma" w:hAnsi="Tahoma" w:cs="Tahoma"/>
                <w:color w:val="000000" w:themeColor="text1"/>
                <w:sz w:val="19"/>
                <w:szCs w:val="19"/>
                <w14:ligatures w14:val="standardContextual"/>
              </w:rPr>
              <w:t xml:space="preserve">yer aldığı afiş, broşür gibi ürünler hazırlamaları istenir. </w:t>
            </w:r>
          </w:p>
          <w:p w:rsidR="00FE2E49" w:rsidRPr="00A62DD1" w:rsidRDefault="00E21F8B" w:rsidP="00D53A11">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FE2E49">
              <w:rPr>
                <w:rFonts w:ascii="Tahoma" w:hAnsi="Tahoma" w:cs="Tahoma"/>
                <w:color w:val="000000" w:themeColor="text1"/>
                <w:sz w:val="19"/>
                <w:szCs w:val="19"/>
                <w14:ligatures w14:val="standardContextual"/>
              </w:rPr>
              <w:t>Süreç; eşleştirmeli, doğru-yanlış,</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kısa cevaplı gibi maddelerden oluşan bir çalışma yaprağı ile değerlendirilebilir. Çalışma</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yaprakları öğrenci portfolyolarına dâhil edilir.</w:t>
            </w:r>
          </w:p>
        </w:tc>
      </w:tr>
      <w:tr w:rsidR="00122BB8" w:rsidTr="00D53A11">
        <w:trPr>
          <w:trHeight w:val="357"/>
        </w:trPr>
        <w:tc>
          <w:tcPr>
            <w:tcW w:w="1459" w:type="dxa"/>
            <w:vMerge w:val="restart"/>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FE2E49" w:rsidRPr="00A62DD1" w:rsidRDefault="00E21F8B" w:rsidP="00D53A11">
            <w:pPr>
              <w:pStyle w:val="AralkYok"/>
              <w:rPr>
                <w:rFonts w:ascii="Tahoma" w:hAnsi="Tahoma" w:cs="Tahoma"/>
                <w:sz w:val="19"/>
                <w:szCs w:val="19"/>
              </w:rPr>
            </w:pPr>
            <w:r w:rsidRPr="001D3B8B">
              <w:rPr>
                <w:rFonts w:ascii="Tahoma" w:hAnsi="Tahoma" w:cs="Tahoma"/>
                <w:sz w:val="19"/>
                <w:szCs w:val="19"/>
              </w:rPr>
              <w:t>Afetlere karşı alınabilecek önlemlere ilişkin broşür hazırlayıp okul arkadaşlarına dağıtmaları</w:t>
            </w:r>
            <w:r>
              <w:rPr>
                <w:rFonts w:ascii="Tahoma" w:hAnsi="Tahoma" w:cs="Tahoma"/>
                <w:sz w:val="19"/>
                <w:szCs w:val="19"/>
              </w:rPr>
              <w:t xml:space="preserve"> </w:t>
            </w:r>
            <w:r w:rsidRPr="001D3B8B">
              <w:rPr>
                <w:rFonts w:ascii="Tahoma" w:hAnsi="Tahoma" w:cs="Tahoma"/>
                <w:sz w:val="19"/>
                <w:szCs w:val="19"/>
              </w:rPr>
              <w:t>istenebilir</w:t>
            </w:r>
            <w:r>
              <w:rPr>
                <w:rFonts w:ascii="Tahoma" w:hAnsi="Tahoma" w:cs="Tahoma"/>
                <w:sz w:val="19"/>
                <w:szCs w:val="19"/>
              </w:rPr>
              <w:t>.</w:t>
            </w:r>
          </w:p>
        </w:tc>
      </w:tr>
      <w:tr w:rsidR="00122BB8" w:rsidTr="00D53A11">
        <w:trPr>
          <w:trHeight w:val="190"/>
        </w:trPr>
        <w:tc>
          <w:tcPr>
            <w:tcW w:w="1459" w:type="dxa"/>
            <w:vMerge/>
            <w:vAlign w:val="center"/>
          </w:tcPr>
          <w:p w:rsidR="00FE2E49" w:rsidRPr="00A62DD1" w:rsidRDefault="00FE2E49" w:rsidP="00D53A11">
            <w:pPr>
              <w:pStyle w:val="AralkYok"/>
              <w:rPr>
                <w:rFonts w:ascii="Tahoma" w:hAnsi="Tahoma" w:cs="Tahoma"/>
                <w:b/>
                <w:sz w:val="19"/>
                <w:szCs w:val="19"/>
                <w14:ligatures w14:val="standardContextual"/>
              </w:rPr>
            </w:pPr>
          </w:p>
        </w:tc>
        <w:tc>
          <w:tcPr>
            <w:tcW w:w="1522" w:type="dxa"/>
            <w:vAlign w:val="center"/>
          </w:tcPr>
          <w:p w:rsidR="00FE2E49" w:rsidRPr="00A62DD1" w:rsidRDefault="00E21F8B"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FE2E49" w:rsidRPr="00A62DD1" w:rsidRDefault="00E21F8B" w:rsidP="00D53A11">
            <w:pPr>
              <w:pStyle w:val="AralkYok"/>
              <w:rPr>
                <w:rFonts w:ascii="Tahoma" w:hAnsi="Tahoma" w:cs="Tahoma"/>
                <w:sz w:val="19"/>
                <w:szCs w:val="19"/>
              </w:rPr>
            </w:pPr>
            <w:r w:rsidRPr="001D3B8B">
              <w:rPr>
                <w:rFonts w:ascii="Tahoma" w:hAnsi="Tahoma" w:cs="Tahoma"/>
                <w:sz w:val="19"/>
                <w:szCs w:val="19"/>
              </w:rPr>
              <w:t>Öğrencilerin afetlerle ilgili resimlere yönelik düşünceleri</w:t>
            </w:r>
            <w:r>
              <w:rPr>
                <w:rFonts w:ascii="Tahoma" w:hAnsi="Tahoma" w:cs="Tahoma"/>
                <w:sz w:val="19"/>
                <w:szCs w:val="19"/>
              </w:rPr>
              <w:t>ni ifade etmeleri sağlanabilir.</w:t>
            </w:r>
          </w:p>
        </w:tc>
      </w:tr>
    </w:tbl>
    <w:p w:rsidR="00FE2E49" w:rsidRDefault="00FE2E49" w:rsidP="00FE2E49">
      <w:pPr>
        <w:pStyle w:val="AralkYok"/>
        <w:rPr>
          <w:sz w:val="20"/>
          <w:szCs w:val="20"/>
        </w:rPr>
      </w:pPr>
    </w:p>
    <w:p w:rsidR="00FE2E49" w:rsidRDefault="00E21F8B" w:rsidP="00FE2E49">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3025140</wp:posOffset>
                </wp:positionH>
                <wp:positionV relativeFrom="paragraph">
                  <wp:posOffset>76835</wp:posOffset>
                </wp:positionV>
                <wp:extent cx="3825240" cy="1203960"/>
                <wp:effectExtent l="0" t="0" r="0" b="0"/>
                <wp:wrapNone/>
                <wp:docPr id="122" name="Grup 122"/>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23" name="Dikdörtgen 123"/>
                        <wps:cNvSpPr/>
                        <wps:spPr>
                          <a:xfrm>
                            <a:off x="0" y="0"/>
                            <a:ext cx="1493520" cy="1203960"/>
                          </a:xfrm>
                          <a:prstGeom prst="rect">
                            <a:avLst/>
                          </a:prstGeom>
                          <a:noFill/>
                          <a:ln w="12700">
                            <a:noFill/>
                            <a:prstDash val="solid"/>
                            <a:miter lim="800000"/>
                          </a:ln>
                          <a:effectLst/>
                        </wps:spPr>
                        <wps:txbx>
                          <w:txbxContent>
                            <w:p w:rsidR="005A4244" w:rsidRPr="007F30E0" w:rsidRDefault="00E21F8B" w:rsidP="005A4244">
                              <w:pPr>
                                <w:pStyle w:val="AralkYok"/>
                                <w:jc w:val="center"/>
                                <w:rPr>
                                  <w:color w:val="000000" w:themeColor="text1"/>
                                </w:rPr>
                              </w:pPr>
                              <w:r w:rsidRPr="007F30E0">
                                <w:rPr>
                                  <w:color w:val="000000" w:themeColor="text1"/>
                                </w:rPr>
                                <w:t>OLUR</w:t>
                              </w:r>
                            </w:p>
                            <w:p w:rsidR="005A4244" w:rsidRPr="007F30E0" w:rsidRDefault="00E21F8B"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E21F8B" w:rsidP="005A4244">
                              <w:pPr>
                                <w:pStyle w:val="AralkYok"/>
                                <w:jc w:val="center"/>
                                <w:rPr>
                                  <w:color w:val="000000" w:themeColor="text1"/>
                                </w:rPr>
                              </w:pPr>
                              <w:r w:rsidRPr="007F30E0">
                                <w:rPr>
                                  <w:color w:val="000000" w:themeColor="text1"/>
                                </w:rPr>
                                <w:t>....................</w:t>
                              </w:r>
                            </w:p>
                            <w:p w:rsidR="005A4244" w:rsidRPr="007F30E0" w:rsidRDefault="00E21F8B"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24" name="Dikdörtgen 124">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E21F8B"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17424429" name="Resim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24429"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E21F8B"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122" o:spid="_x0000_s1025" style="width:301.2pt;height:94.8pt;margin-top:6.05pt;margin-left:238.2pt;position:absolute;z-index:251659264" coordsize="38252,12039">
                <v:rect id="Dikdörtgen 123" o:spid="_x0000_s1026" style="width:14935;height:12039;mso-wrap-style:square;position:absolute;v-text-anchor:middle;visibility:visible" filled="f" stroked="f" strokeweight="1pt">
                  <v:textbox>
                    <w:txbxContent>
                      <w:p w:rsidR="005A4244" w:rsidRPr="007F30E0" w:rsidP="005A4244" w14:paraId="6C9D54E3" w14:textId="77777777">
                        <w:pPr>
                          <w:pStyle w:val="NoSpacing"/>
                          <w:jc w:val="center"/>
                          <w:rPr>
                            <w:color w:val="000000" w:themeColor="text1"/>
                          </w:rPr>
                        </w:pPr>
                        <w:r w:rsidRPr="007F30E0">
                          <w:rPr>
                            <w:color w:val="000000" w:themeColor="text1"/>
                          </w:rPr>
                          <w:t>OLUR</w:t>
                        </w:r>
                      </w:p>
                      <w:p w:rsidR="005A4244" w:rsidRPr="007F30E0" w:rsidP="005A4244" w14:paraId="6ACE88F7" w14:textId="77777777">
                        <w:pPr>
                          <w:pStyle w:val="NoSpacing"/>
                          <w:jc w:val="center"/>
                          <w:rPr>
                            <w:color w:val="000000" w:themeColor="text1"/>
                          </w:rPr>
                        </w:pPr>
                        <w:r w:rsidRPr="007F30E0">
                          <w:rPr>
                            <w:color w:val="000000" w:themeColor="text1"/>
                          </w:rPr>
                          <w:t>.....................</w:t>
                        </w:r>
                      </w:p>
                      <w:p w:rsidR="005A4244" w:rsidRPr="007F30E0" w:rsidP="005A4244" w14:paraId="1069595B" w14:textId="77777777">
                        <w:pPr>
                          <w:pStyle w:val="NoSpacing"/>
                          <w:jc w:val="center"/>
                          <w:rPr>
                            <w:color w:val="000000" w:themeColor="text1"/>
                          </w:rPr>
                        </w:pPr>
                      </w:p>
                      <w:p w:rsidR="005A4244" w:rsidRPr="007F30E0" w:rsidP="005A4244" w14:paraId="3495A1A5" w14:textId="77777777">
                        <w:pPr>
                          <w:pStyle w:val="NoSpacing"/>
                          <w:jc w:val="center"/>
                          <w:rPr>
                            <w:color w:val="000000" w:themeColor="text1"/>
                          </w:rPr>
                        </w:pPr>
                        <w:r w:rsidRPr="007F30E0">
                          <w:rPr>
                            <w:color w:val="000000" w:themeColor="text1"/>
                          </w:rPr>
                          <w:t>....................</w:t>
                        </w:r>
                      </w:p>
                      <w:p w:rsidR="005A4244" w:rsidRPr="007F30E0" w:rsidP="005A4244" w14:paraId="6B670983" w14:textId="77777777">
                        <w:pPr>
                          <w:jc w:val="center"/>
                          <w:rPr>
                            <w:color w:val="000000" w:themeColor="text1"/>
                          </w:rPr>
                        </w:pPr>
                        <w:r w:rsidRPr="007F30E0">
                          <w:rPr>
                            <w:color w:val="000000" w:themeColor="text1"/>
                          </w:rPr>
                          <w:t>Okul Müdürü</w:t>
                        </w:r>
                      </w:p>
                    </w:txbxContent>
                  </v:textbox>
                </v:rect>
                <v:rect id="Dikdörtgen 124"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65AE4295" w14:textId="77777777">
                        <w:pPr>
                          <w:jc w:val="center"/>
                          <w:rPr>
                            <w:b/>
                            <w:color w:val="0070C0"/>
                          </w:rPr>
                        </w:pPr>
                        <w:drawing>
                          <wp:inline distT="0" distB="0" distL="0" distR="0">
                            <wp:extent cx="1187093" cy="556260"/>
                            <wp:effectExtent l="0" t="0" r="0" b="0"/>
                            <wp:docPr id="125" name="Resim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693D4BC8" w14:textId="77777777">
                        <w:pPr>
                          <w:jc w:val="center"/>
                          <w:rPr>
                            <w:b/>
                            <w:color w:val="0070C0"/>
                          </w:rPr>
                        </w:pPr>
                        <w:r w:rsidRPr="007F30E0">
                          <w:rPr>
                            <w:b/>
                            <w:color w:val="0070C0"/>
                          </w:rPr>
                          <w:t>www.mustafakabul.com</w:t>
                        </w:r>
                      </w:p>
                    </w:txbxContent>
                  </v:textbox>
                </v:rect>
              </v:group>
            </w:pict>
          </mc:Fallback>
        </mc:AlternateContent>
      </w:r>
    </w:p>
    <w:p w:rsidR="00FE2E49" w:rsidRDefault="00FE2E49" w:rsidP="00FE2E49">
      <w:pPr>
        <w:pStyle w:val="AralkYok"/>
        <w:jc w:val="center"/>
      </w:pPr>
    </w:p>
    <w:p w:rsidR="00FE2E49" w:rsidRDefault="00FE2E49" w:rsidP="00FE2E49">
      <w:pPr>
        <w:pStyle w:val="AralkYok"/>
        <w:jc w:val="center"/>
      </w:pPr>
    </w:p>
    <w:p w:rsidR="00FE2E49" w:rsidRDefault="00FE2E49" w:rsidP="004E11DF">
      <w:pPr>
        <w:pStyle w:val="AralkYok"/>
        <w:jc w:val="center"/>
      </w:pPr>
    </w:p>
    <w:p w:rsidR="00FE2E49" w:rsidRDefault="00FE2E49" w:rsidP="004E11DF">
      <w:pPr>
        <w:pStyle w:val="AralkYok"/>
        <w:jc w:val="center"/>
      </w:pPr>
    </w:p>
    <w:p w:rsidR="00FE2E49" w:rsidRDefault="00FE2E49" w:rsidP="004E11DF">
      <w:pPr>
        <w:pStyle w:val="AralkYok"/>
        <w:jc w:val="center"/>
      </w:pPr>
    </w:p>
    <w:sectPr w:rsidR="00FE2E49" w:rsidSect="00926B9C">
      <w:pgSz w:w="11906" w:h="16838"/>
      <w:pgMar w:top="284" w:right="284" w:bottom="284" w:left="284" w:header="284" w:footer="340" w:gutter="0"/>
      <w:pgNumType w:start="2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AF98DBA2">
      <w:start w:val="1"/>
      <w:numFmt w:val="decimal"/>
      <w:lvlText w:val=""/>
      <w:lvlJc w:val="left"/>
    </w:lvl>
    <w:lvl w:ilvl="1" w:tplc="519E7CAC">
      <w:numFmt w:val="decimal"/>
      <w:lvlText w:val=""/>
      <w:lvlJc w:val="left"/>
    </w:lvl>
    <w:lvl w:ilvl="2" w:tplc="6248C5CC">
      <w:numFmt w:val="decimal"/>
      <w:lvlText w:val=""/>
      <w:lvlJc w:val="left"/>
    </w:lvl>
    <w:lvl w:ilvl="3" w:tplc="9AE485D2">
      <w:numFmt w:val="decimal"/>
      <w:lvlText w:val=""/>
      <w:lvlJc w:val="left"/>
    </w:lvl>
    <w:lvl w:ilvl="4" w:tplc="57A49DC2">
      <w:numFmt w:val="decimal"/>
      <w:lvlText w:val=""/>
      <w:lvlJc w:val="left"/>
    </w:lvl>
    <w:lvl w:ilvl="5" w:tplc="B9F6A024">
      <w:numFmt w:val="decimal"/>
      <w:lvlText w:val=""/>
      <w:lvlJc w:val="left"/>
    </w:lvl>
    <w:lvl w:ilvl="6" w:tplc="1A78F810">
      <w:numFmt w:val="decimal"/>
      <w:lvlText w:val=""/>
      <w:lvlJc w:val="left"/>
    </w:lvl>
    <w:lvl w:ilvl="7" w:tplc="0A3A9482">
      <w:numFmt w:val="decimal"/>
      <w:lvlText w:val=""/>
      <w:lvlJc w:val="left"/>
    </w:lvl>
    <w:lvl w:ilvl="8" w:tplc="AA0AC50C">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2BB8"/>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A6431"/>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1F8B"/>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F1F2"/>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92A00-E9A9-4291-A8C3-A3E490BD5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568</Words>
  <Characters>3238</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2025-08-26T15:35:00Z</dcterms:modified>
  <cp:category>www.mustafakabul.com</cp:category>
</cp:coreProperties>
</file>